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
        <w:ind w:hanging="0" w:end="0"/>
        <w:rPr>
          <w:sz w:val="18"/>
          <w:szCs w:val="18"/>
        </w:rPr>
      </w:pPr>
      <w:r>
        <w:rPr>
          <w:rStyle w:val="FootnoteReference"/>
          <w:rFonts w:eastAsia="Symbol" w:cs="Symbol" w:ascii="Symbol" w:hAnsi="Symbol"/>
          <w:sz w:val="18"/>
          <w:szCs w:val="18"/>
        </w:rPr>
        <w:footnoteReference w:customMarkFollows="1" w:id="2"/>
        <w:t></w:t>
      </w:r>
      <w:r>
        <mc:AlternateContent>
          <mc:Choice Requires="wps">
            <w:drawing>
              <wp:anchor distT="0" distB="0" distL="118745" distR="118745" simplePos="0" relativeHeight="2" behindDoc="0" locked="0" layoutInCell="0" allowOverlap="1">
                <wp:simplePos x="0" y="0"/>
                <wp:positionH relativeFrom="page">
                  <wp:align>center</wp:align>
                </wp:positionH>
                <wp:positionV relativeFrom="paragraph">
                  <wp:posOffset>635</wp:posOffset>
                </wp:positionV>
                <wp:extent cx="5944235" cy="701040"/>
                <wp:effectExtent l="0" t="0" r="0" b="0"/>
                <wp:wrapTopAndBottom/>
                <wp:docPr id="1" name="Frame1"/>
                <a:graphic xmlns:a="http://schemas.openxmlformats.org/drawingml/2006/main">
                  <a:graphicData uri="http://schemas.microsoft.com/office/word/2010/wordprocessingShape">
                    <wps:wsp>
                      <wps:cNvSpPr txBox="1"/>
                      <wps:spPr>
                        <a:xfrm>
                          <a:off x="0" y="0"/>
                          <a:ext cx="5944235" cy="701040"/>
                        </a:xfrm>
                        <a:prstGeom prst="rect"/>
                        <a:solidFill>
                          <a:srgbClr val="FFFFFF">
                            <a:alpha val="0"/>
                          </a:srgbClr>
                        </a:solidFill>
                      </wps:spPr>
                      <wps:txbx>
                        <w:txbxContent>
                          <w:p>
                            <w:pPr>
                              <w:pStyle w:val="Heading"/>
                              <w:rPr>
                                <w:rFonts w:hint="eastAsia"/>
                                <w:lang w:eastAsia="ko-KR"/>
                              </w:rPr>
                            </w:pPr>
                            <w:r>
                              <w:rPr/>
                              <w:t xml:space="preserve">Preparation of Papers for </w:t>
                            </w:r>
                            <w:r>
                              <w:rPr>
                                <w:rFonts w:hint="eastAsia"/>
                                <w:lang w:eastAsia="ko-KR"/>
                              </w:rPr>
                              <w:t>Fully3D 2027 Submission</w:t>
                            </w:r>
                          </w:p>
                        </w:txbxContent>
                      </wps:txbx>
                      <wps:bodyPr anchor="t" lIns="0" tIns="0" rIns="0" bIns="0">
                        <a:noAutofit/>
                      </wps:bodyPr>
                    </wps:wsp>
                  </a:graphicData>
                </a:graphic>
              </wp:anchor>
            </w:drawing>
          </mc:Choice>
          <mc:Fallback>
            <w:pict>
              <v:rect fillcolor="#FFFFFF" style="position:absolute;rotation:-0;width:468.05pt;height:55.2pt;mso-wrap-distance-left:9.35pt;mso-wrap-distance-right:9.35pt;mso-wrap-distance-top:0pt;mso-wrap-distance-bottom:0pt;margin-top:0.05pt;mso-position-vertical-relative:text;margin-left:63.65pt;mso-position-horizontal:center;mso-position-horizontal-relative:page">
                <v:fill opacity="0f"/>
                <v:textbox inset="0in,0in,0in,0in">
                  <w:txbxContent>
                    <w:p>
                      <w:pPr>
                        <w:pStyle w:val="Heading"/>
                        <w:rPr>
                          <w:rFonts w:hint="eastAsia"/>
                          <w:lang w:eastAsia="ko-KR"/>
                        </w:rPr>
                      </w:pPr>
                      <w:r>
                        <w:rPr/>
                        <w:t xml:space="preserve">Preparation of Papers for </w:t>
                      </w:r>
                      <w:r>
                        <w:rPr>
                          <w:rFonts w:hint="eastAsia"/>
                          <w:lang w:eastAsia="ko-KR"/>
                        </w:rPr>
                        <w:t>Fully3D 2027 Submission</w:t>
                      </w:r>
                    </w:p>
                  </w:txbxContent>
                </v:textbox>
                <w10:wrap type="topAndBottom"/>
              </v:rect>
            </w:pict>
          </mc:Fallback>
        </mc:AlternateContent>
      </w:r>
    </w:p>
    <w:p>
      <w:pPr>
        <w:pStyle w:val="Abstract"/>
        <w:rPr/>
      </w:pPr>
      <w:r>
        <w:rPr>
          <w:i/>
          <w:iCs/>
        </w:rPr>
        <w:t xml:space="preserve">Abstract</w:t>
      </w:r>
      <w:r>
        <w:rPr/>
        <w:t xml:space="preserve">—Please insert your abstract here. This abstract can be slightly longer than the very short 150-word version required for the online submission system. </w:t>
      </w:r>
      <w:r>
        <w:rPr>
          <w:i/>
          <w:iCs/>
          <w:color w:val="C00000"/>
        </w:rPr>
        <w:t xml:space="preserve">Include a sentence about the novelty and impact to medical imaging.</w:t>
      </w:r>
      <w:r>
        <mc:AlternateContent>
          <mc:Choice Requires="wps">
            <w:drawing>
              <wp:anchor distT="118745" distB="118745" distL="118745" distR="118745" simplePos="0" relativeHeight="3" behindDoc="0" locked="0" layoutInCell="0" allowOverlap="1">
                <wp:simplePos x="0" y="0"/>
                <wp:positionH relativeFrom="page">
                  <wp:align>center</wp:align>
                </wp:positionH>
                <wp:positionV relativeFrom="paragraph">
                  <wp:posOffset>635</wp:posOffset>
                </wp:positionV>
                <wp:extent cx="5760720" cy="160655"/>
                <wp:effectExtent l="0" t="0" r="0" b="0"/>
                <wp:wrapTopAndBottom/>
                <wp:docPr id="2" name="Frame2"/>
                <a:graphic xmlns:a="http://schemas.openxmlformats.org/drawingml/2006/main">
                  <a:graphicData uri="http://schemas.microsoft.com/office/word/2010/wordprocessingShape">
                    <wps:wsp>
                      <wps:cNvSpPr txBox="1"/>
                      <wps:spPr>
                        <a:xfrm>
                          <a:off x="0" y="0"/>
                          <a:ext cx="5760720" cy="160655"/>
                        </a:xfrm>
                        <a:prstGeom prst="rect"/>
                        <a:solidFill>
                          <a:srgbClr val="FFFFFF">
                            <a:alpha val="0"/>
                          </a:srgbClr>
                        </a:solidFill>
                      </wps:spPr>
                      <wps:txbx>
                        <w:txbxContent>
                          <w:p>
                            <w:pPr>
                              <w:pStyle w:val="Authors"/>
                              <w:spacing w:before="0" w:after="320"/>
                              <w:rPr/>
                            </w:pPr>
                            <w:r>
                              <w:rPr/>
                              <w:t xml:space="preserve">First A. Author, Second B. Author, and Third C. Author</w:t>
                            </w:r>
                          </w:p>
                        </w:txbxContent>
                      </wps:txbx>
                      <wps:bodyPr anchor="t" lIns="0" tIns="0" rIns="0" bIns="0">
                        <a:noAutofit/>
                      </wps:bodyPr>
                    </wps:wsp>
                  </a:graphicData>
                </a:graphic>
              </wp:anchor>
            </w:drawing>
          </mc:Choice>
          <mc:Fallback>
            <w:pict>
              <v:rect fillcolor="#FFFFFF" style="position:absolute;rotation:-0;width:453.6pt;height:12.65pt;mso-wrap-distance-left:9.35pt;mso-wrap-distance-right:9.35pt;mso-wrap-distance-top:9.35pt;mso-wrap-distance-bottom:9.35pt;margin-top:0.05pt;mso-position-vertical-relative:text;margin-left:70.85pt;mso-position-horizontal:center;mso-position-horizontal-relative:page">
                <v:fill opacity="0f"/>
                <v:textbox inset="0in,0in,0in,0in">
                  <w:txbxContent>
                    <w:p>
                      <w:pPr>
                        <w:pStyle w:val="Authors"/>
                        <w:spacing w:before="0" w:after="320"/>
                        <w:rPr/>
                      </w:pPr>
                      <w:r>
                        <w:rPr/>
                        <w:t xml:space="preserve">First A. Author, Second B. Author, and Third C. Author</w:t>
                      </w:r>
                    </w:p>
                  </w:txbxContent>
                </v:textbox>
                <w10:wrap type="topAndBottom"/>
              </v:rect>
            </w:pict>
          </mc:Fallback>
        </mc:AlternateContent>
      </w:r>
    </w:p>
    <w:p>
      <w:pPr>
        <w:pStyle w:val="Normal"/>
        <w:rPr/>
      </w:pPr>
      <w:r>
        <w:rPr/>
      </w:r>
    </w:p>
    <w:p>
      <w:pPr>
        <w:pStyle w:val="IndexTerms"/>
        <w:rPr/>
      </w:pPr>
      <w:r>
        <w:rPr>
          <w:i/>
          <w:iCs/>
        </w:rPr>
        <w:t xml:space="preserve">Index Terms</w:t>
      </w:r>
      <w:r>
        <w:rPr/>
        <w:t xml:space="preserve">—Enter three to five keywords or phrases in alphabetical order, separated by commas.</w:t>
      </w:r>
    </w:p>
    <w:p>
      <w:pPr>
        <w:pStyle w:val="Normal"/>
        <w:rPr/>
      </w:pPr>
      <w:r>
        <w:rPr/>
      </w:r>
    </w:p>
    <w:p>
      <w:pPr>
        <w:pStyle w:val="Heading1"/>
        <w:ind w:hanging="0" w:start="0"/>
      </w:pPr>
      <w:r>
        <w:rPr/>
        <w:t xml:space="preserve">Introduction</w:t>
      </w:r>
    </w:p>
    <w:p>
      <w:pPr>
        <w:pStyle w:val="Text"/>
        <w:spacing w:after="40"/>
        <w:ind w:firstLine="0"/>
      </w:pPr>
      <w:r>
        <w:rPr>
          <w:b/>
          <w:bCs/>
          <w:color w:val="C00000"/>
        </w:rPr>
        <w:t xml:space="preserve">Submission rules</w:t>
      </w:r>
    </w:p>
    <w:p>
      <w:pPr>
        <w:pStyle w:val="Text"/>
        <w:numPr>
          <w:ilvl w:val="0"/>
          <w:numId w:val="5"/>
        </w:numPr>
        <w:ind w:start="360" w:hanging="240"/>
        <w:jc w:val="start"/>
      </w:pPr>
      <w:r>
        <w:rPr>
          <w:color w:val="C00000"/>
        </w:rPr>
        <w:t xml:space="preserve">Submission must be in </w:t>
      </w:r>
      <w:r>
        <w:rPr>
          <w:b/>
          <w:bCs/>
          <w:color w:val="C00000"/>
        </w:rPr>
        <w:t xml:space="preserve">PDF format</w:t>
      </w:r>
      <w:r>
        <w:rPr>
          <w:color w:val="C00000"/>
        </w:rPr>
        <w:t xml:space="preserve"> only.</w:t>
      </w:r>
    </w:p>
    <w:p>
      <w:pPr>
        <w:pStyle w:val="Text"/>
        <w:numPr>
          <w:ilvl w:val="0"/>
          <w:numId w:val="5"/>
        </w:numPr>
        <w:ind w:start="360" w:hanging="240"/>
        <w:jc w:val="start"/>
      </w:pPr>
      <w:r>
        <w:rPr>
          <w:color w:val="C00000"/>
        </w:rPr>
        <w:t xml:space="preserve">Use a </w:t>
      </w:r>
      <w:r>
        <w:rPr>
          <w:b/>
          <w:bCs/>
          <w:color w:val="C00000"/>
        </w:rPr>
        <w:t xml:space="preserve">two-column format</w:t>
      </w:r>
      <w:r>
        <w:rPr>
          <w:color w:val="C00000"/>
        </w:rPr>
        <w:t xml:space="preserve"> (as in this template).</w:t>
      </w:r>
    </w:p>
    <w:p>
      <w:pPr>
        <w:pStyle w:val="Text"/>
        <w:numPr>
          <w:ilvl w:val="0"/>
          <w:numId w:val="5"/>
        </w:numPr>
        <w:ind w:start="360" w:hanging="240"/>
        <w:jc w:val="start"/>
      </w:pPr>
      <w:r>
        <w:rPr>
          <w:color w:val="C00000"/>
        </w:rPr>
        <w:t xml:space="preserve">The font size for the main text should be </w:t>
      </w:r>
      <w:r>
        <w:rPr>
          <w:b/>
          <w:bCs/>
          <w:color w:val="C00000"/>
        </w:rPr>
        <w:t xml:space="preserve">11</w:t>
      </w:r>
      <w:r>
        <w:rPr>
          <w:color w:val="C00000"/>
        </w:rPr>
        <w:t xml:space="preserve">, while the abstract and references can use font size </w:t>
      </w:r>
      <w:r>
        <w:rPr>
          <w:b/>
          <w:bCs/>
          <w:color w:val="C00000"/>
        </w:rPr>
        <w:t xml:space="preserve">9</w:t>
      </w:r>
      <w:r>
        <w:rPr>
          <w:color w:val="C00000"/>
        </w:rPr>
        <w:t xml:space="preserve">.</w:t>
      </w:r>
    </w:p>
    <w:p>
      <w:pPr>
        <w:pStyle w:val="Text"/>
        <w:numPr>
          <w:ilvl w:val="0"/>
          <w:numId w:val="5"/>
        </w:numPr>
        <w:ind w:start="360" w:hanging="240"/>
        <w:jc w:val="start"/>
      </w:pPr>
      <w:r>
        <w:rPr>
          <w:color w:val="C00000"/>
        </w:rPr>
        <w:t xml:space="preserve">Submission is limited to a </w:t>
      </w:r>
      <w:r>
        <w:rPr>
          <w:b/>
          <w:bCs/>
          <w:color w:val="C00000"/>
        </w:rPr>
        <w:t xml:space="preserve">maximum of 4 pages</w:t>
      </w:r>
      <w:r>
        <w:rPr>
          <w:color w:val="C00000"/>
        </w:rPr>
        <w:t xml:space="preserve">, including all content (</w:t>
      </w:r>
      <w:r>
        <w:rPr>
          <w:b/>
          <w:bCs/>
          <w:color w:val="C00000"/>
        </w:rPr>
        <w:t xml:space="preserve">strict limit</w:t>
      </w:r>
      <w:r>
        <w:rPr>
          <w:color w:val="C00000"/>
        </w:rPr>
        <w:t xml:space="preserve">).</w:t>
      </w:r>
    </w:p>
    <w:p>
      <w:pPr>
        <w:pStyle w:val="Text"/>
        <w:numPr>
          <w:ilvl w:val="0"/>
          <w:numId w:val="5"/>
        </w:numPr>
        <w:spacing w:after="120"/>
        <w:ind w:start="360" w:hanging="240"/>
        <w:jc w:val="start"/>
      </w:pPr>
      <w:r>
        <w:rPr>
          <w:color w:val="C00000"/>
        </w:rPr>
        <w:t xml:space="preserve">Additionally, prepare a </w:t>
      </w:r>
      <w:r>
        <w:rPr>
          <w:b/>
          <w:bCs/>
          <w:color w:val="C00000"/>
        </w:rPr>
        <w:t xml:space="preserve">short abstract</w:t>
      </w:r>
      <w:r>
        <w:rPr>
          <w:color w:val="C00000"/>
        </w:rPr>
        <w:t xml:space="preserve"> (maximum 150 words) for entry into the online submission system. This abstract will be used for the program only and will not be part of the review process nor the final proceedings.</w:t>
      </w:r>
    </w:p>
    <w:p>
      <w:pPr>
        <w:pStyle w:val="Text"/>
      </w:pPr>
      <w:r>
        <w:rPr/>
        <w:t xml:space="preserve">Replace this text with the introduction of your paper. State the problem addressed, summarize the relevant prior work [1], [2], and clearly describe the goal and the contribution of the work presented in this submission.</w:t>
      </w:r>
    </w:p>
    <w:p>
      <w:pPr>
        <w:pStyle w:val="Text"/>
      </w:pPr>
      <w:r>
        <w:rPr/>
        <w:t xml:space="preserve">Define abbreviations and acronyms the first time they are used in the text, even if they have already been defined in the abstract. Use SI units throughout the paper.</w:t>
      </w:r>
    </w:p>
    <w:p>
      <w:pPr>
        <w:pStyle w:val="Heading1"/>
        <w:ind w:hanging="0" w:start="0"/>
      </w:pPr>
      <w:r>
        <w:rPr/>
        <w:t xml:space="preserve">Materials and Methods</w:t>
      </w:r>
    </w:p>
    <w:p>
      <w:pPr>
        <w:pStyle w:val="Heading2"/>
        <w:ind w:hanging="0" w:start="0"/>
      </w:pPr>
      <w:r>
        <w:rPr/>
        <w:t xml:space="preserve">Page Layout and Styles</w:t>
      </w:r>
    </w:p>
    <w:p>
      <w:pPr>
        <w:pStyle w:val="Text"/>
      </w:pPr>
      <w:r>
        <w:rPr/>
        <w:t xml:space="preserve">This template uses A4 paper with a two-column body; the title and author names span both columns. Use the built-in styles of this document (e.g., “Text”, “heading 1”, “heading 2”, “References”) by typing over the example text. Author affiliations go in the unnumbered footnote at the bottom of the first column. Do not change the margins, font sizes, or line spacing to squeeze more text into the page limit.</w:t>
      </w:r>
    </w:p>
    <w:p>
      <w:pPr>
        <w:pStyle w:val="Heading2"/>
        <w:ind w:hanging="0" w:start="0"/>
      </w:pPr>
      <w:r>
        <w:rPr/>
        <w:t xml:space="preserve">Equations</w:t>
      </w:r>
    </w:p>
    <w:p>
      <w:pPr>
        <w:pStyle w:val="Text"/>
      </w:pPr>
      <w:r>
        <w:rPr/>
        <w:t xml:space="preserve">Number equations consecutively with equation numbers in parentheses flush with the right margin, as in (1). Define all symbols before or immediately after the equation in which they appear. As an example, the MLEM update is</w:t>
      </w:r>
    </w:p>
    <w:p>
      <w:pPr>
        <w:pStyle w:val="Equation"/>
        <w:tabs>
          <w:tab w:val="clear" w:pos="5040"/>
          <w:tab w:val="center" w:pos="2608"/>
          <w:tab w:val="right" w:pos="5216"/>
        </w:tabs>
        <w:spacing w:before="100" w:after="100"/>
      </w:pPr>
      <w:r>
        <w:tab/>
      </w:r>
      <m:oMath>
        <m:sSubSup>
          <m:sSubSupPr/>
          <m:e>
            <m:r>
              <m:t>x</m:t>
            </m:r>
          </m:e>
          <m:sub>
            <m:r>
              <m:t>j</m:t>
            </m:r>
          </m:sub>
          <m:sup>
            <m:r>
              <m:t>(n+1)</m:t>
            </m:r>
          </m:sup>
        </m:sSubSup>
        <m:r>
          <m:t>=</m:t>
        </m:r>
        <m:f>
          <m:num>
            <m:sSubSup>
              <m:sSubSupPr/>
              <m:e>
                <m:r>
                  <m:t>x</m:t>
                </m:r>
              </m:e>
              <m:sub>
                <m:r>
                  <m:t>j</m:t>
                </m:r>
              </m:sub>
              <m:sup>
                <m:r>
                  <m:t>(n)</m:t>
                </m:r>
              </m:sup>
            </m:sSubSup>
          </m:num>
          <m:den>
            <m:nary>
              <m:naryPr>
                <m:chr m:val="∑"/>
                <m:limLoc m:val="undOvr"/>
                <m:supHide m:val="1"/>
              </m:naryPr>
              <m:sub>
                <m:r>
                  <m:t>i</m:t>
                </m:r>
              </m:sub>
              <m:sup/>
              <m:e>
                <m:sSub>
                  <m:sSubPr/>
                  <m:e>
                    <m:r>
                      <m:t>a</m:t>
                    </m:r>
                  </m:e>
                  <m:sub>
                    <m:r>
                      <m:t>ij</m:t>
                    </m:r>
                  </m:sub>
                </m:sSub>
              </m:e>
            </m:nary>
          </m:den>
        </m:f>
        <m:nary>
          <m:naryPr>
            <m:chr m:val="∑"/>
            <m:limLoc m:val="undOvr"/>
            <m:supHide m:val="1"/>
          </m:naryPr>
          <m:sub>
            <m:r>
              <m:t>i</m:t>
            </m:r>
          </m:sub>
          <m:sup/>
          <m:e>
            <m:sSub>
              <m:sSubPr/>
              <m:e>
                <m:r>
                  <m:t>a</m:t>
                </m:r>
              </m:e>
              <m:sub>
                <m:r>
                  <m:t>ij</m:t>
                </m:r>
              </m:sub>
            </m:sSub>
            <m:f>
              <m:num>
                <m:sSub>
                  <m:sSubPr/>
                  <m:e>
                    <m:r>
                      <m:t>y</m:t>
                    </m:r>
                  </m:e>
                  <m:sub>
                    <m:r>
                      <m:t>i</m:t>
                    </m:r>
                  </m:sub>
                </m:sSub>
              </m:num>
              <m:den>
                <m:nary>
                  <m:naryPr>
                    <m:chr m:val="∑"/>
                    <m:limLoc m:val="undOvr"/>
                    <m:supHide m:val="1"/>
                  </m:naryPr>
                  <m:sub>
                    <m:r>
                      <m:t>k</m:t>
                    </m:r>
                  </m:sub>
                  <m:sup/>
                  <m:e>
                    <m:sSub>
                      <m:sSubPr/>
                      <m:e>
                        <m:r>
                          <m:t>a</m:t>
                        </m:r>
                      </m:e>
                      <m:sub>
                        <m:r>
                          <m:t>ik</m:t>
                        </m:r>
                      </m:sub>
                    </m:sSub>
                    <m:sSubSup>
                      <m:sSubSupPr/>
                      <m:e>
                        <m:r>
                          <m:t>x</m:t>
                        </m:r>
                      </m:e>
                      <m:sub>
                        <m:r>
                          <m:t>k</m:t>
                        </m:r>
                      </m:sub>
                      <m:sup>
                        <m:r>
                          <m:t>(n)</m:t>
                        </m:r>
                      </m:sup>
                    </m:sSubSup>
                  </m:e>
                </m:nary>
              </m:den>
            </m:f>
          </m:e>
        </m:nary>
      </m:oMath>
      <w:r>
        <w:tab/>
        <w:t>(1)</w:t>
      </w:r>
    </w:p>
    <w:p>
      <w:pPr>
        <w:pStyle w:val="Text"/>
        <w:ind w:firstLine="0"/>
      </w:pPr>
      <w:r>
        <w:rPr/>
        <w:t xml:space="preserve">where </w:t>
      </w:r>
      <w:r>
        <w:rPr>
          <w:i/>
          <w:iCs/>
        </w:rPr>
        <w:t xml:space="preserve">y</w:t>
      </w:r>
      <w:r>
        <w:rPr>
          <w:i/>
          <w:iCs/>
          <w:vertAlign w:val="subscript"/>
        </w:rPr>
        <w:t xml:space="preserve">i</w:t>
      </w:r>
      <w:r>
        <w:rPr/>
        <w:t xml:space="preserve"> denotes the measured data, </w:t>
      </w:r>
      <w:r>
        <w:rPr>
          <w:i/>
          <w:iCs/>
        </w:rPr>
        <w:t xml:space="preserve">a</w:t>
      </w:r>
      <w:r>
        <w:rPr>
          <w:i/>
          <w:iCs/>
          <w:vertAlign w:val="subscript"/>
        </w:rPr>
        <w:t xml:space="preserve">ij</w:t>
      </w:r>
      <w:r>
        <w:rPr/>
        <w:t xml:space="preserve"> the system matrix element, and </w:t>
      </w:r>
      <w:r>
        <w:rPr>
          <w:i/>
          <w:iCs/>
        </w:rPr>
        <w:t xml:space="preserve">x</w:t>
      </w:r>
      <w:r>
        <w:rPr>
          <w:i/>
          <w:iCs/>
          <w:vertAlign w:val="subscript"/>
        </w:rPr>
        <w:t xml:space="preserve">j</w:t>
      </w:r>
      <w:r>
        <w:rPr>
          <w:vertAlign w:val="superscript"/>
        </w:rPr>
        <w:t xml:space="preserve">(n)</w:t>
      </w:r>
      <w:r>
        <w:rPr/>
        <w:t xml:space="preserve"> the image estimate at iteration </w:t>
      </w:r>
      <w:r>
        <w:rPr>
          <w:i/>
          <w:iCs/>
        </w:rPr>
        <w:t xml:space="preserve">n</w:t>
      </w:r>
      <w:r>
        <w:rPr/>
        <w:t xml:space="preserve">. Refer to “(1),” not “Eq. (1),” except at the beginning of a sentence.</w:t>
      </w:r>
    </w:p>
    <w:p>
      <w:pPr>
        <w:pStyle w:val="Heading2"/>
        <w:ind w:hanging="0" w:start="0"/>
      </w:pPr>
      <w:r>
        <w:rPr/>
        <w:t xml:space="preserve">Figures and Tables</w:t>
      </w:r>
    </w:p>
    <w:p>
      <w:pPr>
        <w:pStyle w:val="Text"/>
      </w:pPr>
      <w:r>
        <w:rPr/>
        <w:t xml:space="preserve">Figures and tables should be one column wide or span the full page width, and must be readable when printed. Place figure captions below figures and table titles above tables. All figures and tables count toward the 4-page limit and must be cited in the text (e.g., Fig. 1 and Table I).</w:t>
      </w:r>
    </w:p>
    <w:p>
      <w:pPr>
        <w:pStyle w:val="Normal"/>
        <w:keepNext/>
        <w:spacing w:before="120"/>
        <w:jc w:val="center"/>
      </w:pPr>
      <w:r>
        <w:drawing>
          <wp:inline distT="0" distB="0" distL="0" distR="0">
            <wp:extent cx="3046780" cy="1568196"/>
            <wp:effectExtent l="0" t="0" r="0" b="0"/>
            <wp:docPr id="101" name="Figure 1" descr="Example phantom and re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_example.png"/>
                    <pic:cNvPicPr/>
                  </pic:nvPicPr>
                  <pic:blipFill>
                    <a:blip r:embed="rIdFig1"/>
                    <a:stretch>
                      <a:fillRect/>
                    </a:stretch>
                  </pic:blipFill>
                  <pic:spPr>
                    <a:xfrm>
                      <a:off x="0" y="0"/>
                      <a:ext cx="3046780" cy="1568196"/>
                    </a:xfrm>
                    <a:prstGeom prst="rect">
                      <a:avLst/>
                    </a:prstGeom>
                  </pic:spPr>
                </pic:pic>
              </a:graphicData>
            </a:graphic>
          </wp:inline>
        </w:drawing>
      </w:r>
    </w:p>
    <w:p>
      <w:pPr>
        <w:pStyle w:val="FigureCaption"/>
        <w:spacing w:before="60" w:after="160"/>
      </w:pPr>
      <w:r>
        <w:rPr/>
        <w:t xml:space="preserve">Fig. 1.  </w:t>
      </w:r>
      <w:r>
        <w:rPr/>
        <w:t xml:space="preserve">Example of a column-wide figure. (a) Digital phantom. (b) Reconstructed image. Replace this figure and caption with your own.</w:t>
      </w:r>
    </w:p>
    <w:p>
      <w:pPr>
        <w:pStyle w:val="TableTitle"/>
        <w:keepNext/>
        <w:spacing w:before="160"/>
      </w:pPr>
      <w:r>
        <w:rPr/>
        <w:t xml:space="preserve">Table I</w:t>
      </w:r>
    </w:p>
    <w:p>
      <w:pPr>
        <w:pStyle w:val="TableTitle"/>
        <w:keepNext/>
        <w:spacing w:after="80"/>
      </w:pPr>
      <w:r>
        <w:rPr/>
        <w:t xml:space="preserve">Example of a Table Title</w:t>
      </w:r>
    </w:p>
    <w:tbl>
      <w:tblPr>
        <w:tblW w:w="5216" w:type="dxa"/>
        <w:jc w:val="center"/>
        <w:tblLayout w:type="fixed"/>
        <w:tblCellMar>
          <w:left w:w="80" w:type="dxa"/>
          <w:right w:w="80" w:type="dxa"/>
        </w:tblCellMar>
      </w:tblPr>
      <w:tblGrid>
        <w:gridCol w:w="2016"/>
        <w:gridCol w:w="1600"/>
        <w:gridCol w:w="1600"/>
      </w:tblGrid>
      <w:tr>
        <w:tc>
          <w:tcPr>
            <w:tcW w:w="2016" w:type="dxa"/>
            <w:tcBorders>
              <w:top w:val="single" w:sz="4" w:space="0" w:color="000000"/>
              <w:start w:val="nil"/>
              <w:bottom w:val="single" w:sz="4" w:space="0" w:color="000000"/>
              <w:end w:val="nil"/>
            </w:tcBorders>
          </w:tcPr>
          <w:p>
            <w:pPr>
              <w:pStyle w:val="Normal"/>
              <w:jc w:val="center"/>
            </w:pPr>
            <w:r>
              <w:rPr>
                <w:b/>
                <w:bCs/>
                <w:sz w:val="16"/>
                <w:szCs w:val="16"/>
              </w:rPr>
              <w:t xml:space="preserve">Method</w:t>
            </w:r>
          </w:p>
        </w:tc>
        <w:tc>
          <w:tcPr>
            <w:tcW w:w="1600" w:type="dxa"/>
            <w:tcBorders>
              <w:top w:val="single" w:sz="4" w:space="0" w:color="000000"/>
              <w:start w:val="nil"/>
              <w:bottom w:val="single" w:sz="4" w:space="0" w:color="000000"/>
              <w:end w:val="nil"/>
            </w:tcBorders>
          </w:tcPr>
          <w:p>
            <w:pPr>
              <w:pStyle w:val="Normal"/>
              <w:jc w:val="center"/>
            </w:pPr>
            <w:r>
              <w:rPr>
                <w:b/>
                <w:bCs/>
                <w:sz w:val="16"/>
                <w:szCs w:val="16"/>
              </w:rPr>
              <w:t xml:space="preserve">RMSE (a.u.)</w:t>
            </w:r>
          </w:p>
        </w:tc>
        <w:tc>
          <w:tcPr>
            <w:tcW w:w="1600" w:type="dxa"/>
            <w:tcBorders>
              <w:top w:val="single" w:sz="4" w:space="0" w:color="000000"/>
              <w:start w:val="nil"/>
              <w:bottom w:val="single" w:sz="4" w:space="0" w:color="000000"/>
              <w:end w:val="nil"/>
            </w:tcBorders>
          </w:tcPr>
          <w:p>
            <w:pPr>
              <w:pStyle w:val="Normal"/>
              <w:jc w:val="center"/>
            </w:pPr>
            <w:r>
              <w:rPr>
                <w:b/>
                <w:bCs/>
                <w:sz w:val="16"/>
                <w:szCs w:val="16"/>
              </w:rPr>
              <w:t xml:space="preserve">SSIM</w:t>
            </w:r>
          </w:p>
        </w:tc>
      </w:tr>
      <w:tr>
        <w:tc>
          <w:tcPr>
            <w:tcW w:w="2016" w:type="dxa"/>
            <w:tcBorders>
              <w:top w:val="single" w:sz="4" w:space="0" w:color="000000"/>
              <w:start w:val="nil"/>
              <w:bottom w:val="nil"/>
              <w:end w:val="nil"/>
            </w:tcBorders>
          </w:tcPr>
          <w:p>
            <w:pPr>
              <w:pStyle w:val="Normal"/>
              <w:jc w:val="center"/>
            </w:pPr>
            <w:r>
              <w:rPr>
                <w:sz w:val="16"/>
                <w:szCs w:val="16"/>
              </w:rPr>
              <w:t xml:space="preserve">FBP</w:t>
            </w:r>
          </w:p>
        </w:tc>
        <w:tc>
          <w:tcPr>
            <w:tcW w:w="1600" w:type="dxa"/>
            <w:tcBorders>
              <w:top w:val="single" w:sz="4" w:space="0" w:color="000000"/>
              <w:start w:val="nil"/>
              <w:bottom w:val="nil"/>
              <w:end w:val="nil"/>
            </w:tcBorders>
          </w:tcPr>
          <w:p>
            <w:pPr>
              <w:pStyle w:val="Normal"/>
              <w:jc w:val="center"/>
            </w:pPr>
            <w:r>
              <w:rPr>
                <w:sz w:val="16"/>
                <w:szCs w:val="16"/>
              </w:rPr>
              <w:t xml:space="preserve">x.xx</w:t>
            </w:r>
          </w:p>
        </w:tc>
        <w:tc>
          <w:tcPr>
            <w:tcW w:w="1600" w:type="dxa"/>
            <w:tcBorders>
              <w:top w:val="single" w:sz="4" w:space="0" w:color="000000"/>
              <w:start w:val="nil"/>
              <w:bottom w:val="nil"/>
              <w:end w:val="nil"/>
            </w:tcBorders>
          </w:tcPr>
          <w:p>
            <w:pPr>
              <w:pStyle w:val="Normal"/>
              <w:jc w:val="center"/>
            </w:pPr>
            <w:r>
              <w:rPr>
                <w:sz w:val="16"/>
                <w:szCs w:val="16"/>
              </w:rPr>
              <w:t xml:space="preserve">x.xx</w:t>
            </w:r>
          </w:p>
        </w:tc>
      </w:tr>
      <w:tr>
        <w:tc>
          <w:tcPr>
            <w:tcW w:w="2016" w:type="dxa"/>
            <w:tcBorders>
              <w:top w:val="nil"/>
              <w:start w:val="nil"/>
              <w:bottom w:val="nil"/>
              <w:end w:val="nil"/>
            </w:tcBorders>
          </w:tcPr>
          <w:p>
            <w:pPr>
              <w:pStyle w:val="Normal"/>
              <w:jc w:val="center"/>
            </w:pPr>
            <w:r>
              <w:rPr>
                <w:sz w:val="16"/>
                <w:szCs w:val="16"/>
              </w:rPr>
              <w:t xml:space="preserve">OSEM</w:t>
            </w:r>
          </w:p>
        </w:tc>
        <w:tc>
          <w:tcPr>
            <w:tcW w:w="1600" w:type="dxa"/>
            <w:tcBorders>
              <w:top w:val="nil"/>
              <w:start w:val="nil"/>
              <w:bottom w:val="nil"/>
              <w:end w:val="nil"/>
            </w:tcBorders>
          </w:tcPr>
          <w:p>
            <w:pPr>
              <w:pStyle w:val="Normal"/>
              <w:jc w:val="center"/>
            </w:pPr>
            <w:r>
              <w:rPr>
                <w:sz w:val="16"/>
                <w:szCs w:val="16"/>
              </w:rPr>
              <w:t xml:space="preserve">x.xx</w:t>
            </w:r>
          </w:p>
        </w:tc>
        <w:tc>
          <w:tcPr>
            <w:tcW w:w="1600" w:type="dxa"/>
            <w:tcBorders>
              <w:top w:val="nil"/>
              <w:start w:val="nil"/>
              <w:bottom w:val="nil"/>
              <w:end w:val="nil"/>
            </w:tcBorders>
          </w:tcPr>
          <w:p>
            <w:pPr>
              <w:pStyle w:val="Normal"/>
              <w:jc w:val="center"/>
            </w:pPr>
            <w:r>
              <w:rPr>
                <w:sz w:val="16"/>
                <w:szCs w:val="16"/>
              </w:rPr>
              <w:t xml:space="preserve">x.xx</w:t>
            </w:r>
          </w:p>
        </w:tc>
      </w:tr>
      <w:tr>
        <w:tc>
          <w:tcPr>
            <w:tcW w:w="2016" w:type="dxa"/>
            <w:tcBorders>
              <w:top w:val="nil"/>
              <w:start w:val="nil"/>
              <w:bottom w:val="single" w:sz="4" w:space="0" w:color="000000"/>
              <w:end w:val="nil"/>
            </w:tcBorders>
          </w:tcPr>
          <w:p>
            <w:pPr>
              <w:pStyle w:val="Normal"/>
              <w:jc w:val="center"/>
            </w:pPr>
            <w:r>
              <w:rPr>
                <w:sz w:val="16"/>
                <w:szCs w:val="16"/>
              </w:rPr>
              <w:t xml:space="preserve">Proposed</w:t>
            </w:r>
          </w:p>
        </w:tc>
        <w:tc>
          <w:tcPr>
            <w:tcW w:w="1600" w:type="dxa"/>
            <w:tcBorders>
              <w:top w:val="nil"/>
              <w:start w:val="nil"/>
              <w:bottom w:val="single" w:sz="4" w:space="0" w:color="000000"/>
              <w:end w:val="nil"/>
            </w:tcBorders>
          </w:tcPr>
          <w:p>
            <w:pPr>
              <w:pStyle w:val="Normal"/>
              <w:jc w:val="center"/>
            </w:pPr>
            <w:r>
              <w:rPr>
                <w:sz w:val="16"/>
                <w:szCs w:val="16"/>
              </w:rPr>
              <w:t xml:space="preserve">x.xx</w:t>
            </w:r>
          </w:p>
        </w:tc>
        <w:tc>
          <w:tcPr>
            <w:tcW w:w="1600" w:type="dxa"/>
            <w:tcBorders>
              <w:top w:val="nil"/>
              <w:start w:val="nil"/>
              <w:bottom w:val="single" w:sz="4" w:space="0" w:color="000000"/>
              <w:end w:val="nil"/>
            </w:tcBorders>
          </w:tcPr>
          <w:p>
            <w:pPr>
              <w:pStyle w:val="Normal"/>
              <w:jc w:val="center"/>
            </w:pPr>
            <w:r>
              <w:rPr>
                <w:sz w:val="16"/>
                <w:szCs w:val="16"/>
              </w:rPr>
              <w:t xml:space="preserve">x.xx</w:t>
            </w:r>
          </w:p>
        </w:tc>
      </w:tr>
    </w:tbl>
    <w:p>
      <w:pPr>
        <w:pStyle w:val="Text"/>
      </w:pPr>
      <w:r>
        <w:rPr/>
        <w:t xml:space="preserve"/>
      </w:r>
    </w:p>
    <w:p>
      <w:pPr>
        <w:pStyle w:val="Heading1"/>
        <w:ind w:hanging="0" w:start="0"/>
      </w:pPr>
      <w:r>
        <w:rPr/>
        <w:t xml:space="preserve">Results</w:t>
      </w:r>
    </w:p>
    <w:p>
      <w:pPr>
        <w:pStyle w:val="Text"/>
      </w:pPr>
      <w:r>
        <w:rPr/>
        <w:t xml:space="preserve">Replace this text with your results. Present quantitative results in figures or tables where possible and describe the main findings clearly.</w:t>
      </w:r>
    </w:p>
    <w:p>
      <w:pPr>
        <w:pStyle w:val="Heading1"/>
        <w:ind w:hanging="0" w:start="0"/>
      </w:pPr>
      <w:r>
        <w:rPr/>
        <w:t xml:space="preserve">Discussion</w:t>
      </w:r>
    </w:p>
    <w:p>
      <w:pPr>
        <w:pStyle w:val="Text"/>
      </w:pPr>
      <w:r>
        <w:rPr/>
        <w:t xml:space="preserve">Replace this text with the discussion. Interpret the results, compare them with prior work [3], [4], and state the limitations of the study.</w:t>
      </w:r>
    </w:p>
    <w:p>
      <w:pPr>
        <w:pStyle w:val="Heading1"/>
        <w:ind w:hanging="0" w:start="0"/>
      </w:pPr>
      <w:r>
        <w:rPr/>
        <w:t xml:space="preserve">Conclusion</w:t>
      </w:r>
    </w:p>
    <w:p>
      <w:pPr>
        <w:pStyle w:val="Text"/>
      </w:pPr>
      <w:r>
        <w:rPr/>
        <w:t xml:space="preserve">Replace this text with the conclusion. Summarize the main contribution of the work and its impact on medical imaging.</w:t>
      </w:r>
    </w:p>
    <w:p>
      <w:pPr>
        <w:pStyle w:val="ReferenceHead"/>
      </w:pPr>
      <w:r>
        <w:rPr/>
        <w:t xml:space="preserve">Acknowledgment</w:t>
      </w:r>
    </w:p>
    <w:p>
      <w:pPr>
        <w:pStyle w:val="Text"/>
      </w:pPr>
      <w:r>
        <w:rPr/>
        <w:t xml:space="preserve">Optional. Acknowledge other support here (funding can also be stated in the first-page footnote).</w:t>
      </w:r>
    </w:p>
    <w:p>
      <w:pPr>
        <w:pStyle w:val="ReferenceHead"/>
      </w:pPr>
      <w:r>
        <w:rPr/>
        <w:t xml:space="preserve">References</w:t>
      </w:r>
    </w:p>
    <w:p>
      <w:pPr>
        <w:pStyle w:val="References"/>
        <w:numPr>
          <w:ilvl w:val="0"/>
          <w:numId w:val="3"/>
        </w:numPr>
        <w:tabs>
          <w:tab w:val="num" w:pos="360"/>
        </w:tabs>
        <w:ind w:start="360" w:hanging="360"/>
        <w:jc w:val="start"/>
      </w:pPr>
      <w:r>
        <w:rPr/>
        <w:t xml:space="preserve">P. Liu </w:t>
      </w:r>
      <w:r>
        <w:rPr>
          <w:i/>
          <w:iCs/>
        </w:rPr>
        <w:t xml:space="preserve">et al.</w:t>
      </w:r>
      <w:r>
        <w:rPr/>
        <w:t xml:space="preserve">, “Multi-level wavelet-CNN for image restoration,” in </w:t>
      </w:r>
      <w:r>
        <w:rPr>
          <w:i/>
          <w:iCs/>
        </w:rPr>
        <w:t xml:space="preserve">Proc. IEEE Conf. Comput. Vis. Pattern Recognit. Workshops (CVPRW)</w:t>
      </w:r>
      <w:r>
        <w:rPr/>
        <w:t xml:space="preserve">, 2018, pp. 886–895, doi: 10.1109/CVPRW.2018.00121.</w:t>
      </w:r>
    </w:p>
    <w:p>
      <w:pPr>
        <w:pStyle w:val="References"/>
        <w:numPr>
          <w:ilvl w:val="0"/>
          <w:numId w:val="3"/>
        </w:numPr>
        <w:tabs>
          <w:tab w:val="num" w:pos="360"/>
        </w:tabs>
        <w:ind w:start="360" w:hanging="360"/>
        <w:jc w:val="start"/>
      </w:pPr>
      <w:r>
        <w:rPr/>
        <w:t xml:space="preserve">K. Baete </w:t>
      </w:r>
      <w:r>
        <w:rPr>
          <w:i/>
          <w:iCs/>
        </w:rPr>
        <w:t xml:space="preserve">et al.</w:t>
      </w:r>
      <w:r>
        <w:rPr/>
        <w:t xml:space="preserve">, “Evaluation of anatomy based reconstruction for partial volume correction in brain FDG-PET,” </w:t>
      </w:r>
      <w:r>
        <w:rPr>
          <w:i/>
          <w:iCs/>
        </w:rPr>
        <w:t xml:space="preserve">NeuroImage</w:t>
      </w:r>
      <w:r>
        <w:rPr/>
        <w:t xml:space="preserve">, vol. 23, no. 1, pp. 305–317, 2004, doi: 10.1016/j.neuroimage.2004.04.041.</w:t>
      </w:r>
    </w:p>
    <w:p>
      <w:pPr>
        <w:pStyle w:val="References"/>
        <w:numPr>
          <w:ilvl w:val="0"/>
          <w:numId w:val="3"/>
        </w:numPr>
        <w:tabs>
          <w:tab w:val="num" w:pos="360"/>
        </w:tabs>
        <w:ind w:start="360" w:hanging="360"/>
        <w:jc w:val="start"/>
      </w:pPr>
      <w:r>
        <w:rPr/>
        <w:t xml:space="preserve">K. Vunckx </w:t>
      </w:r>
      <w:r>
        <w:rPr>
          <w:i/>
          <w:iCs/>
        </w:rPr>
        <w:t xml:space="preserve">et al.</w:t>
      </w:r>
      <w:r>
        <w:rPr/>
        <w:t xml:space="preserve">, “Evaluation of three MRI-based anatomical priors for quantitative PET brain imaging,” </w:t>
      </w:r>
      <w:r>
        <w:rPr>
          <w:i/>
          <w:iCs/>
        </w:rPr>
        <w:t xml:space="preserve">IEEE Trans. Med. Imag.</w:t>
      </w:r>
      <w:r>
        <w:rPr/>
        <w:t xml:space="preserve">, vol. 31, no. 3, pp. 599–612, 2012, doi: 10.1109/TMI.2011.2173766.</w:t>
      </w:r>
    </w:p>
    <w:p>
      <w:pPr>
        <w:pStyle w:val="References"/>
        <w:numPr>
          <w:ilvl w:val="0"/>
          <w:numId w:val="3"/>
        </w:numPr>
        <w:tabs>
          <w:tab w:val="num" w:pos="360"/>
        </w:tabs>
        <w:ind w:start="360" w:hanging="360"/>
        <w:jc w:val="start"/>
      </w:pPr>
      <w:r>
        <w:rPr/>
        <w:t xml:space="preserve">N. Burgos </w:t>
      </w:r>
      <w:r>
        <w:rPr>
          <w:i/>
          <w:iCs/>
        </w:rPr>
        <w:t xml:space="preserve">et al.</w:t>
      </w:r>
      <w:r>
        <w:rPr/>
        <w:t xml:space="preserve">, “Attenuation correction synthesis for hybrid PET-MR scanners: Application to brain studies,” </w:t>
      </w:r>
      <w:r>
        <w:rPr>
          <w:i/>
          <w:iCs/>
        </w:rPr>
        <w:t xml:space="preserve">IEEE Trans. Med. Imag.</w:t>
      </w:r>
      <w:r>
        <w:rPr/>
        <w:t xml:space="preserve">, vol. 33, no. 12, pp. 2332–2341, 2014, doi: 10.1109/TMI.2014.2340135.</w:t>
      </w:r>
    </w:p>
    <w:p>
      <w:pPr>
        <w:pStyle w:val="Normal"/>
        <w:spacing w:before="120"/>
      </w:pPr>
      <w:r>
        <w:rPr>
          <w:b/>
          <w:bCs/>
          <w:color w:val="C00000"/>
          <w:sz w:val="18"/>
          <w:szCs w:val="18"/>
        </w:rPr>
        <w:t xml:space="preserve">Please specify DOIs if possible.</w:t>
      </w:r>
    </w:p>
    <w:sectPr>
      <w:headerReference w:type="default" r:id="rId14"/>
      <w:footerReference w:type="default" r:id="rId15"/>
      <w:footnotePr>
        <w:numFmt w:val="decimal"/>
      </w:footnotePr>
      <w:type w:val="nextPage"/>
      <w:pgSz w:w="11906" w:h="16838"/>
      <w:pgMar w:left="567" w:right="567" w:gutter="0" w:header="425" w:top="1134" w:footer="425" w:bottom="851"/>
      <w:pgNumType w:fmt="decimal"/>
      <w:cols w:num="2" w:space="340" w:equalWidth="true" w:sep="false"/>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Verdana">
    <w:charset w:val="00" w:characterSet="windows-1252"/>
    <w:family w:val="swiss"/>
    <w:pitch w:val="variable"/>
  </w:font>
  <w:font w:name="Formata-Regular">
    <w:altName w:val="Times New Roman"/>
    <w:charset w:val="00" w:characterSet="windows-1252"/>
    <w:family w:val="auto"/>
    <w:pitch w:val="default"/>
  </w:font>
  <w:font w:name="Baskerville">
    <w:charset w:val="00" w:characterSet="windows-1252"/>
    <w:family w:val="auto"/>
    <w:pitch w:val="variable"/>
  </w:font>
  <w:font w:name="Times">
    <w:altName w:val="Times New Roman"/>
    <w:charset w:val="00" w:characterSet="windows-1252"/>
    <w:family w:val="roman"/>
    <w:pitch w:val="variable"/>
  </w:font>
  <w:font w:name="Cambria">
    <w:charset w:val="00" w:characterSet="windows-1252"/>
    <w:family w:val="roman"/>
    <w:pitch w:val="variable"/>
  </w:font>
  <w:font w:name="Helv">
    <w:altName w:val="Arial"/>
    <w:charset w:val="00" w:characterSet="windows-1252"/>
    <w:family w:val="swiss"/>
    <w:pitch w:val="variable"/>
  </w:font>
  <w:font w:name="TimesNewRomanPS-ItalicMT">
    <w:altName w:val="Times New Roman"/>
    <w:charset w:val="00" w:characterSet="windows-1252"/>
    <w:family w:val="roman"/>
    <w:pitch w:val="default"/>
  </w:font>
  <w:font w:name="TimesNewRomanPSMT">
    <w:altName w:val="Times New Roman"/>
    <w:charset w:val="00" w:characterSet="windows-1252"/>
    <w:family w:val="roman"/>
    <w:pitch w:val="default"/>
  </w:font>
  <w:font w:name="Times-Roman">
    <w:altName w:val="Times New Roman"/>
    <w:charset w:val="00" w:characterSet="windows-1252"/>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t></w:t>
      </w:r>
      <w:r>
        <w:rPr/>
        <w:t xml:space="preserve">This paragraph of the first footnote may contain support information, including sponsor and financial support acknowledgment. For example, “This work was supported in part by the National Research Foundation under Grant XXXXXXXX.”</w:t>
      </w:r>
    </w:p>
    <w:p>
      <w:pPr>
        <w:pStyle w:val="FootnoteText"/>
        <w:rPr/>
      </w:pPr>
      <w:r>
        <w:rPr/>
        <w:t xml:space="preserve">The next paragraphs should contain the authors’ affiliations, including address and e-mail. For example, F. A. Author and S. B. Author are with the Department of Nuclear Medicine, University of Reconstruction, City, Country (e-mail: first.author@university.edu).</w:t>
      </w:r>
    </w:p>
    <w:p>
      <w:pPr>
        <w:pStyle w:val="FootnoteText"/>
        <w:rPr/>
      </w:pPr>
      <w:r>
        <w:rPr/>
        <w:t xml:space="preserve">T. C. Author is with the Department of Radiology, Recon University, City, Country (e-mail: third.author@recon.edu).</w:t>
      </w:r>
    </w:p>
  </w:footnote>
  <w:footnote w:id="3">
    <w:p>
      <w:pPr>
        <w:pStyle w:val="FootnoteText"/>
        <w:rPr/>
      </w:pPr>
      <w:r>
        <w:rPr>
          <w:rStyle w:val="FootnoteCharacters"/>
        </w:rPr>
        <w:footnoteRef/>
      </w:r>
      <w:r>
        <w:rP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hint="eastAsia"/>
        <w:lang w:eastAsia="ko-KR"/>
      </w:rPr>
    </w:pPr>
    <w:r>
      <w:rPr>
        <w:rFonts w:cs="Arial" w:ascii="Arial" w:hAnsi="Arial"/>
        <w:b/>
        <w:color w:val="000000"/>
        <w:sz w:val="16"/>
        <w:szCs w:val="16"/>
      </w:rPr>
      <w:t>The 1</w:t>
    </w:r>
    <w:r>
      <w:rPr>
        <w:rFonts w:cs="Arial" w:hint="eastAsia" w:ascii="Arial" w:hAnsi="Arial"/>
        <w:b/>
        <w:color w:val="000000"/>
        <w:sz w:val="16"/>
        <w:szCs w:val="16"/>
        <w:lang w:eastAsia="ko-KR"/>
      </w:rPr>
      <w:t>9</w:t>
    </w:r>
    <w:r>
      <w:rPr>
        <w:rFonts w:cs="Arial" w:ascii="Arial" w:hAnsi="Arial"/>
        <w:b/>
        <w:color w:val="000000"/>
        <w:sz w:val="16"/>
        <w:szCs w:val="16"/>
        <w:vertAlign w:val="superscript"/>
      </w:rPr>
      <w:t>th</w:t>
    </w:r>
    <w:r>
      <w:rPr>
        <w:rFonts w:cs="Arial" w:ascii="Arial" w:hAnsi="Arial"/>
        <w:b/>
        <w:color w:val="000000"/>
        <w:sz w:val="16"/>
        <w:szCs w:val="16"/>
      </w:rPr>
      <w:t xml:space="preserve"> International Meeting on Fully 3D Image Reconstruction in Radiology and Nuclear Medicine</w:t>
    </w:r>
    <w:r>
      <w:rPr>
        <w:rFonts w:cs="Arial" w:hint="eastAsia" w:ascii="Arial" w:hAnsi="Arial"/>
        <w:b/>
        <w:color w:val="000000"/>
        <w:sz w:val="16"/>
        <w:szCs w:val="16"/>
        <w:lang w:eastAsia="ko-KR"/>
      </w:rPr>
      <w:t xml:space="preserve"> (Fully3D 2027)</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pStyle w:val="Heading1"/>
      <w:suff w:val="space"/>
      <w:lvlText w:val="%1."/>
      <w:lvlJc w:val="start"/>
      <w:pPr>
        <w:tabs>
          <w:tab w:val="num" w:pos="144"/>
        </w:tabs>
        <w:ind w:start="0" w:hanging="0"/>
      </w:pPr>
    </w:lvl>
    <w:lvl w:ilvl="1">
      <w:start w:val="1"/>
      <w:numFmt w:val="upperLetter"/>
      <w:pStyle w:val="Heading2"/>
      <w:suff w:val="space"/>
      <w:lvlText w:val="%2."/>
      <w:lvlJc w:val="start"/>
      <w:pPr>
        <w:tabs>
          <w:tab w:val="num" w:pos="144"/>
        </w:tabs>
        <w:ind w:start="0" w:hanging="0"/>
      </w:pPr>
      <w:rPr>
        <w:b w:val="false"/>
      </w:rPr>
    </w:lvl>
    <w:lvl w:ilvl="2">
      <w:start w:val="1"/>
      <w:numFmt w:val="decimal"/>
      <w:pStyle w:val="Heading3"/>
      <w:lvlText w:val="%3)"/>
      <w:lvlJc w:val="start"/>
      <w:pPr>
        <w:tabs>
          <w:tab w:val="num" w:pos="144"/>
        </w:tabs>
        <w:ind w:start="0" w:hanging="0"/>
      </w:pPr>
      <w:rPr>
        <w:i/>
      </w:rPr>
    </w:lvl>
    <w:lvl w:ilvl="3">
      <w:start w:val="1"/>
      <w:numFmt w:val="lowerLetter"/>
      <w:pStyle w:val="Heading4"/>
      <w:lvlText w:val="%4)"/>
      <w:lvlJc w:val="start"/>
      <w:pPr>
        <w:tabs>
          <w:tab w:val="num" w:pos="720"/>
        </w:tabs>
        <w:ind w:start="1152" w:hanging="720"/>
      </w:pPr>
    </w:lvl>
    <w:lvl w:ilvl="4">
      <w:start w:val="1"/>
      <w:numFmt w:val="decimal"/>
      <w:pStyle w:val="Heading5"/>
      <w:lvlText w:val="(%5)"/>
      <w:lvlJc w:val="start"/>
      <w:pPr>
        <w:tabs>
          <w:tab w:val="num" w:pos="720"/>
        </w:tabs>
        <w:ind w:start="1872" w:hanging="720"/>
      </w:pPr>
    </w:lvl>
    <w:lvl w:ilvl="5">
      <w:start w:val="1"/>
      <w:numFmt w:val="lowerLetter"/>
      <w:pStyle w:val="Heading6"/>
      <w:lvlText w:val="(%6)"/>
      <w:lvlJc w:val="start"/>
      <w:pPr>
        <w:tabs>
          <w:tab w:val="num" w:pos="720"/>
        </w:tabs>
        <w:ind w:start="2592" w:hanging="720"/>
      </w:pPr>
    </w:lvl>
    <w:lvl w:ilvl="6">
      <w:start w:val="1"/>
      <w:numFmt w:val="lowerRoman"/>
      <w:pStyle w:val="Heading7"/>
      <w:lvlText w:val="(%7)"/>
      <w:lvlJc w:val="start"/>
      <w:pPr>
        <w:tabs>
          <w:tab w:val="num" w:pos="720"/>
        </w:tabs>
        <w:ind w:start="3312" w:hanging="720"/>
      </w:pPr>
    </w:lvl>
    <w:lvl w:ilvl="7">
      <w:start w:val="1"/>
      <w:numFmt w:val="lowerLetter"/>
      <w:pStyle w:val="Heading8"/>
      <w:lvlText w:val="(%8)"/>
      <w:lvlJc w:val="start"/>
      <w:pPr>
        <w:tabs>
          <w:tab w:val="num" w:pos="720"/>
        </w:tabs>
        <w:ind w:start="4032" w:hanging="720"/>
      </w:pPr>
    </w:lvl>
    <w:lvl w:ilvl="8">
      <w:start w:val="1"/>
      <w:numFmt w:val="lowerRoman"/>
      <w:pStyle w:val="Heading9"/>
      <w:lvlText w:val="(%9)"/>
      <w:lvlJc w:val="start"/>
      <w:pPr>
        <w:tabs>
          <w:tab w:val="num" w:pos="720"/>
        </w:tabs>
        <w:ind w:start="4752" w:hanging="720"/>
      </w:pPr>
    </w:lvl>
  </w:abstractNum>
  <w:abstractNum w:abstractNumId="2">
    <w:lvl w:ilvl="0">
      <w:start w:val="1"/>
      <w:numFmt w:val="decimal"/>
      <w:lvlText w:val="%1)"/>
      <w:lvlJc w:val="start"/>
      <w:pPr>
        <w:tabs>
          <w:tab w:val="num" w:pos="360"/>
        </w:tabs>
        <w:ind w:start="360" w:hanging="360"/>
      </w:pPr>
    </w:lvl>
  </w:abstractNum>
  <w:abstractNum w:abstractNumId="3">
    <w:lvl w:ilvl="0">
      <w:start w:val="1"/>
      <w:numFmt w:val="decimal"/>
      <w:lvlText w:val="[%1]"/>
      <w:lvlJc w:val="start"/>
      <w:pPr>
        <w:tabs>
          <w:tab w:val="num" w:pos="1170"/>
        </w:tabs>
        <w:ind w:start="1170" w:hanging="360"/>
      </w:pPr>
      <w:rPr>
        <w:i w:val="false"/>
      </w:rPr>
    </w:lvl>
  </w:abstractNum>
  <w:abstractNum w:abstractNumId="4">
    <w:lvl w:ilvl="0">
      <w:start w:val="1"/>
      <w:numFmt w:val="upperLetter"/>
      <w:lvlText w:val="%1."/>
      <w:lvlJc w:val="start"/>
      <w:pPr>
        <w:tabs>
          <w:tab w:val="num" w:pos="0"/>
        </w:tabs>
        <w:ind w:start="720" w:hanging="360"/>
      </w:pPr>
      <w:rPr>
        <w:i/>
      </w:rPr>
    </w:lvl>
  </w:abstractNum>
  <w:abstractNum w:abstractNumId="50">
    <w:multiLevelType w:val="singleLevel"/>
    <w:lvl w:ilvl="0">
      <w:start w:val="1"/>
      <w:numFmt w:val="bullet"/>
      <w:lvlText w:val="•"/>
      <w:lvlJc w:val="start"/>
      <w:pPr>
        <w:ind w:start="360" w:hanging="240"/>
      </w:pPr>
      <w:rPr>
        <w:rFonts w:ascii="Times New Roman" w:hAnsi="Times New Roman"/>
        <w:color w:val="C00000"/>
      </w:rPr>
    </w:lvl>
  </w:abstractNum>
  <w:num w:numId="1">
    <w:abstractNumId w:val="1"/>
  </w:num>
  <w:num w:numId="2">
    <w:abstractNumId w:val="2"/>
  </w:num>
  <w:num w:numId="3">
    <w:abstractNumId w:val="3"/>
  </w:num>
  <w:num w:numId="4">
    <w:abstractNumId w:val="4"/>
  </w:num>
  <w:num w:numId="5">
    <w:abstractNumId w:val="50"/>
  </w:num>
</w:numbering>
</file>

<file path=word/settings.xml><?xml version="1.0" encoding="utf-8"?>
<w:settings xmlns:w="http://schemas.openxmlformats.org/wordprocessingml/2006/main">
  <w:zoom w:percent="100"/>
  <w:defaultTabStop w:val="202"/>
  <w:autoHyphenation w:val="true"/>
  <w:hyphenationZone w:val="0"/>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맑은 고딕" w:cs="Times New Roman"/>
      <w:color w:val="auto"/>
      <w:sz w:val="22"/>
      <w:szCs w:val="22"/>
      <w:lang w:bidi="ar-SA" w:val="en-US" w:eastAsia="zh-CN"/>
    </w:rPr>
  </w:style>
  <w:style w:type="paragraph" w:styleId="Heading1">
    <w:name w:val="heading 1"/>
    <w:basedOn w:val="Normal"/>
    <w:next w:val="Normal"/>
    <w:qFormat/>
    <w:pPr>
      <w:keepNext w:val="true"/>
      <w:numPr>
        <w:ilvl w:val="0"/>
        <w:numId w:val="1"/>
      </w:numPr>
      <w:spacing w:before="240" w:after="80"/>
      <w:jc w:val="center"/>
      <w:outlineLvl w:val="0"/>
    </w:pPr>
    <w:rPr>
      <w:smallCaps/>
      <w:kern w:val="2"/>
    </w:rPr>
  </w:style>
  <w:style w:type="paragraph" w:styleId="Heading2">
    <w:name w:val="heading 2"/>
    <w:basedOn w:val="Normal"/>
    <w:next w:val="Normal"/>
    <w:qFormat/>
    <w:pPr>
      <w:keepNext w:val="true"/>
      <w:numPr>
        <w:ilvl w:val="1"/>
        <w:numId w:val="1"/>
      </w:numPr>
      <w:spacing w:before="120" w:after="60"/>
      <w:outlineLvl w:val="1"/>
    </w:pPr>
    <w:rPr>
      <w:i/>
      <w:iCs/>
    </w:rPr>
  </w:style>
  <w:style w:type="paragraph" w:styleId="Heading3">
    <w:name w:val="heading 3"/>
    <w:basedOn w:val="Normal"/>
    <w:next w:val="Normal"/>
    <w:qFormat/>
    <w:pPr>
      <w:keepNext w:val="true"/>
      <w:numPr>
        <w:ilvl w:val="2"/>
        <w:numId w:val="1"/>
      </w:numPr>
      <w:outlineLvl w:val="2"/>
    </w:pPr>
    <w:rPr>
      <w:i/>
      <w:iCs/>
    </w:rPr>
  </w:style>
  <w:style w:type="paragraph" w:styleId="Heading4">
    <w:name w:val="heading 4"/>
    <w:basedOn w:val="Normal"/>
    <w:next w:val="Normal"/>
    <w:qFormat/>
    <w:pPr>
      <w:keepNext w:val="true"/>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rFonts w:ascii="Symbol" w:hAnsi="Symbol" w:cs="Symbol"/>
    </w:rPr>
  </w:style>
  <w:style w:type="character" w:styleId="WW8Num11z0">
    <w:name w:val="WW8Num11z0"/>
    <w:qFormat/>
    <w:rPr>
      <w:rFonts w:ascii="Symbol" w:hAnsi="Symbol" w:cs="Symbol"/>
    </w:rPr>
  </w:style>
  <w:style w:type="character" w:styleId="WW8Num12z1">
    <w:name w:val="WW8Num12z1"/>
    <w:qFormat/>
    <w:rPr>
      <w:b w:val="false"/>
    </w:rPr>
  </w:style>
  <w:style w:type="character" w:styleId="WW8Num12z2">
    <w:name w:val="WW8Num12z2"/>
    <w:qFormat/>
    <w:rPr>
      <w:i/>
    </w:rPr>
  </w:style>
  <w:style w:type="character" w:styleId="WW8Num18z0">
    <w:name w:val="WW8Num18z0"/>
    <w:qFormat/>
    <w:rPr>
      <w:i/>
    </w:rPr>
  </w:style>
  <w:style w:type="character" w:styleId="WW8Num19z0">
    <w:name w:val="WW8Num19z0"/>
    <w:qFormat/>
    <w:rPr>
      <w:i w:val="false"/>
    </w:rPr>
  </w:style>
  <w:style w:type="character" w:styleId="WW8Num21z0">
    <w:name w:val="WW8Num21z0"/>
    <w:qFormat/>
    <w:rPr>
      <w:i/>
    </w:rPr>
  </w:style>
  <w:style w:type="character" w:styleId="WW8Num26z0">
    <w:name w:val="WW8Num26z0"/>
    <w:qFormat/>
    <w:rPr>
      <w:b w:val="false"/>
    </w:rPr>
  </w:style>
  <w:style w:type="character" w:styleId="WW8Num30z0">
    <w:name w:val="WW8Num30z0"/>
    <w:qFormat/>
    <w:rPr>
      <w:i/>
    </w:rPr>
  </w:style>
  <w:style w:type="character" w:styleId="Style5">
    <w:name w:val="기본 단락 글꼴"/>
    <w:qFormat/>
    <w:rPr/>
  </w:style>
  <w:style w:type="character" w:styleId="MemberType">
    <w:name w:val="MemberType"/>
    <w:qFormat/>
    <w:rPr>
      <w:rFonts w:ascii="Times New Roman" w:hAnsi="Times New Roman" w:cs="Times New Roman"/>
      <w:i/>
      <w:iCs/>
      <w:sz w:val="22"/>
      <w:szCs w:val="22"/>
    </w:rPr>
  </w:style>
  <w:style w:type="character" w:styleId="FootnoteCharacters">
    <w:name w:val="Footnote Characters"/>
    <w:qFormat/>
    <w:rPr>
      <w:vertAlign w:val="superscript"/>
    </w:rPr>
  </w:style>
  <w:style w:type="character" w:styleId="Hyperlink">
    <w:name w:val="Hyperlink"/>
    <w:rPr>
      <w:color w:val="0000FF"/>
      <w:u w:val="single"/>
    </w:rPr>
  </w:style>
  <w:style w:type="character" w:styleId="FollowedHyperlink">
    <w:name w:val="FollowedHyperlink"/>
    <w:rPr>
      <w:color w:val="800080"/>
      <w:u w:val="single"/>
    </w:rPr>
  </w:style>
  <w:style w:type="character" w:styleId="A5">
    <w:name w:val="A5"/>
    <w:qFormat/>
    <w:rPr>
      <w:color w:val="00529F"/>
      <w:sz w:val="20"/>
      <w:szCs w:val="20"/>
    </w:rPr>
  </w:style>
  <w:style w:type="character" w:styleId="Char">
    <w:name w:val="풍선 도움말 텍스트 Char"/>
    <w:qFormat/>
    <w:rPr>
      <w:rFonts w:ascii="Tahoma" w:hAnsi="Tahoma" w:cs="Tahoma"/>
      <w:sz w:val="16"/>
      <w:szCs w:val="16"/>
    </w:rPr>
  </w:style>
  <w:style w:type="character" w:styleId="MediumGrid11">
    <w:name w:val="Medium Grid 11"/>
    <w:qFormat/>
    <w:rPr>
      <w:color w:val="808080"/>
    </w:rPr>
  </w:style>
  <w:style w:type="character" w:styleId="BodyText1">
    <w:name w:val="Body Text1"/>
    <w:qFormat/>
    <w:rPr>
      <w:rFonts w:ascii="Verdana" w:hAnsi="Verdana" w:cs="Verdana"/>
      <w:color w:val="000000"/>
      <w:sz w:val="22"/>
      <w:szCs w:val="22"/>
    </w:rPr>
  </w:style>
  <w:style w:type="character" w:styleId="bodytype">
    <w:name w:val="body type"/>
    <w:qFormat/>
    <w:rPr>
      <w:rFonts w:ascii="Formata-Regular;Times New Roman" w:hAnsi="Formata-Regular;Times New Roman" w:cs="Formata-Regular;Times New Roman"/>
      <w:color w:val="000000"/>
      <w:sz w:val="22"/>
      <w:szCs w:val="22"/>
    </w:rPr>
  </w:style>
  <w:style w:type="character" w:styleId="1Char">
    <w:name w:val="제목 1 Char"/>
    <w:qFormat/>
    <w:rPr>
      <w:smallCaps/>
      <w:kern w:val="2"/>
    </w:rPr>
  </w:style>
  <w:style w:type="character" w:styleId="ReferenceHeadChar">
    <w:name w:val="Reference Head Char"/>
    <w:qFormat/>
    <w:rPr>
      <w:smallCaps/>
      <w:kern w:val="2"/>
    </w:rPr>
  </w:style>
  <w:style w:type="character" w:styleId="Style1Char">
    <w:name w:val="Style1 Char"/>
    <w:qFormat/>
    <w:rPr>
      <w:smallCaps/>
      <w:kern w:val="2"/>
    </w:rPr>
  </w:style>
  <w:style w:type="character" w:styleId="BodyText2">
    <w:name w:val="Body Text2"/>
    <w:qFormat/>
    <w:rPr>
      <w:rFonts w:ascii="Verdana" w:hAnsi="Verdana" w:cs="Verdana"/>
      <w:color w:val="000000"/>
      <w:sz w:val="22"/>
      <w:szCs w:val="22"/>
    </w:rPr>
  </w:style>
  <w:style w:type="character" w:styleId="2Char">
    <w:name w:val="제목 2 Char"/>
    <w:qFormat/>
    <w:rPr>
      <w:i/>
      <w:iCs/>
    </w:rPr>
  </w:style>
  <w:style w:type="character" w:styleId="TextL-MAGChar">
    <w:name w:val="Text L-MAG Char"/>
    <w:qFormat/>
    <w:rPr>
      <w:rFonts w:ascii="Arial" w:hAnsi="Arial" w:eastAsia="MS Mincho" w:cs="Arial"/>
      <w:sz w:val="18"/>
      <w:szCs w:val="22"/>
      <w:lang w:eastAsia="ja-JP"/>
    </w:rPr>
  </w:style>
  <w:style w:type="character" w:styleId="Char1">
    <w:name w:val="바닥글 Char"/>
    <w:basedOn w:val="Style5"/>
    <w:qFormat/>
    <w:rPr/>
  </w:style>
  <w:style w:type="character" w:styleId="Char2">
    <w:name w:val="각주 텍스트 Char"/>
    <w:qFormat/>
    <w:rPr>
      <w:sz w:val="16"/>
      <w:szCs w:val="16"/>
    </w:rPr>
  </w:style>
  <w:style w:type="character" w:styleId="Char3">
    <w:name w:val="본문 들여쓰기 Char"/>
    <w:qFormat/>
    <w:rPr>
      <w:szCs w:val="24"/>
    </w:rPr>
  </w:style>
  <w:style w:type="character" w:styleId="m5113501246024331607m-6864882937387638336gmail-il">
    <w:name w:val="m_5113501246024331607m_-6864882937387638336gmail-il"/>
    <w:basedOn w:val="Style5"/>
    <w:qFormat/>
    <w:rPr/>
  </w:style>
  <w:style w:type="character" w:styleId="apple-converted-space">
    <w:name w:val="apple-converted-space"/>
    <w:basedOn w:val="Style5"/>
    <w:qFormat/>
    <w:rPr/>
  </w:style>
  <w:style w:type="character" w:styleId="Char4">
    <w:name w:val="머리글 Char"/>
    <w:qFormat/>
    <w:rPr/>
  </w:style>
  <w:style w:type="character" w:styleId="WW8Dropcap0">
    <w:name w:val="WW8Dropcap0"/>
    <w:qFormat/>
    <w:rPr>
      <w:sz w:val="56"/>
      <w:szCs w:val="56"/>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Normal"/>
    <w:qFormat/>
    <w:pPr>
      <w:jc w:val="center"/>
    </w:pPr>
    <w:rPr>
      <w:kern w:val="2"/>
      <w:sz w:val="48"/>
      <w:szCs w:val="4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Abstract">
    <w:name w:val="Abstract"/>
    <w:basedOn w:val="Normal"/>
    <w:next w:val="Normal"/>
    <w:qFormat/>
    <w:pPr>
      <w:spacing w:before="20" w:after="0"/>
      <w:ind w:firstLine="202" w:start="0" w:end="0"/>
      <w:jc w:val="both"/>
    </w:pPr>
    <w:rPr>
      <w:b/>
      <w:bCs/>
      <w:sz w:val="18"/>
      <w:szCs w:val="18"/>
    </w:rPr>
  </w:style>
  <w:style w:type="paragraph" w:styleId="Authors">
    <w:name w:val="Authors"/>
    <w:basedOn w:val="Normal"/>
    <w:next w:val="Normal"/>
    <w:qFormat/>
    <w:pPr>
      <w:spacing w:before="0" w:after="320"/>
      <w:jc w:val="center"/>
    </w:pPr>
    <w:rPr>
      <w:sz w:val="22"/>
      <w:szCs w:val="22"/>
    </w:rPr>
  </w:style>
  <w:style w:type="paragraph" w:styleId="FootnoteText">
    <w:name w:val="footnote text"/>
    <w:basedOn w:val="Normal"/>
    <w:pPr>
      <w:ind w:firstLine="202" w:start="0" w:end="0"/>
      <w:jc w:val="both"/>
    </w:pPr>
    <w:rPr>
      <w:sz w:val="16"/>
      <w:szCs w:val="16"/>
    </w:rPr>
  </w:style>
  <w:style w:type="paragraph" w:styleId="References">
    <w:name w:val="References"/>
    <w:basedOn w:val="Normal"/>
    <w:qFormat/>
    <w:pPr>
      <w:numPr>
        <w:ilvl w:val="0"/>
        <w:numId w:val="3"/>
      </w:numPr>
      <w:jc w:val="both"/>
    </w:pPr>
    <w:rPr>
      <w:sz w:val="18"/>
      <w:szCs w:val="18"/>
    </w:rPr>
  </w:style>
  <w:style w:type="paragraph" w:styleId="IndexTerms">
    <w:name w:val="IndexTerms"/>
    <w:basedOn w:val="Normal"/>
    <w:next w:val="Normal"/>
    <w:qFormat/>
    <w:pPr>
      <w:ind w:firstLine="202" w:start="0" w:end="0"/>
      <w:jc w:val="both"/>
    </w:pPr>
    <w:rPr>
      <w:b/>
      <w:bCs/>
      <w:sz w:val="18"/>
      <w:szCs w:val="18"/>
    </w:rPr>
  </w:style>
  <w:style w:type="paragraph" w:styleId="HeaderandFooter">
    <w:name w:val="Header and Footer"/>
    <w:basedOn w:val="Normal"/>
    <w:qFormat/>
    <w:pPr>
      <w:suppressLineNumbers/>
      <w:tabs>
        <w:tab w:val="clear" w:pos="202"/>
        <w:tab w:val="center" w:pos="4819" w:leader="none"/>
        <w:tab w:val="right" w:pos="9638" w:leader="none"/>
      </w:tabs>
    </w:pPr>
    <w:rPr/>
  </w:style>
  <w:style w:type="paragraph" w:styleId="Footer">
    <w:name w:val="footer"/>
    <w:basedOn w:val="Normal"/>
    <w:pPr>
      <w:tabs>
        <w:tab w:val="clear" w:pos="202"/>
        <w:tab w:val="center" w:pos="4320" w:leader="none"/>
        <w:tab w:val="right" w:pos="8640" w:leader="none"/>
      </w:tabs>
    </w:pPr>
    <w:rPr/>
  </w:style>
  <w:style w:type="paragraph" w:styleId="Text">
    <w:name w:val="Text"/>
    <w:basedOn w:val="Normal"/>
    <w:qFormat/>
    <w:pPr>
      <w:widowControl w:val="false"/>
      <w:spacing w:lineRule="auto" w:line="252"/>
      <w:ind w:firstLine="202" w:start="0" w:end="0"/>
      <w:jc w:val="both"/>
    </w:pPr>
    <w:rPr/>
  </w:style>
  <w:style w:type="paragraph" w:styleId="FigureCaption">
    <w:name w:val="Figure Caption"/>
    <w:basedOn w:val="Normal"/>
    <w:qFormat/>
    <w:pPr>
      <w:jc w:val="both"/>
    </w:pPr>
    <w:rPr>
      <w:sz w:val="16"/>
      <w:szCs w:val="16"/>
    </w:rPr>
  </w:style>
  <w:style w:type="paragraph" w:styleId="TableTitle">
    <w:name w:val="Table Title"/>
    <w:basedOn w:val="Normal"/>
    <w:qFormat/>
    <w:pPr>
      <w:jc w:val="center"/>
    </w:pPr>
    <w:rPr>
      <w:smallCaps/>
      <w:sz w:val="16"/>
      <w:szCs w:val="16"/>
    </w:rPr>
  </w:style>
  <w:style w:type="paragraph" w:styleId="ReferenceHead">
    <w:name w:val="Reference Head"/>
    <w:basedOn w:val="Heading1"/>
    <w:qFormat/>
    <w:pPr>
      <w:numPr>
        <w:ilvl w:val="0"/>
        <w:numId w:val="0"/>
      </w:numPr>
      <w:ind w:hanging="0" w:start="0" w:end="0"/>
      <w:outlineLvl w:val="9"/>
    </w:pPr>
    <w:rPr/>
  </w:style>
  <w:style w:type="paragraph" w:styleId="Header">
    <w:name w:val="header"/>
    <w:basedOn w:val="Normal"/>
    <w:pPr>
      <w:tabs>
        <w:tab w:val="clear" w:pos="202"/>
        <w:tab w:val="center" w:pos="4320" w:leader="none"/>
        <w:tab w:val="right" w:pos="8640" w:leader="none"/>
      </w:tabs>
    </w:pPr>
    <w:rPr/>
  </w:style>
  <w:style w:type="paragraph" w:styleId="Equation">
    <w:name w:val="Equation"/>
    <w:basedOn w:val="Normal"/>
    <w:next w:val="Normal"/>
    <w:qFormat/>
    <w:pPr>
      <w:widowControl w:val="false"/>
      <w:tabs>
        <w:tab w:val="clear" w:pos="202"/>
        <w:tab w:val="right" w:pos="5040" w:leader="none"/>
      </w:tabs>
      <w:spacing w:lineRule="auto" w:line="252"/>
      <w:jc w:val="both"/>
    </w:pPr>
    <w:rPr/>
  </w:style>
  <w:style w:type="paragraph" w:styleId="BodyTextIndent">
    <w:name w:val="Body Text Indent"/>
    <w:basedOn w:val="Normal"/>
    <w:pPr>
      <w:ind w:hanging="630" w:start="630" w:end="0"/>
    </w:pPr>
    <w:rPr>
      <w:szCs w:val="24"/>
    </w:rPr>
  </w:style>
  <w:style w:type="paragraph" w:styleId="Style6">
    <w:name w:val="문서 구조"/>
    <w:basedOn w:val="Normal"/>
    <w:qFormat/>
    <w:pPr>
      <w:shd w:fill="000080" w:val="clear"/>
    </w:pPr>
    <w:rPr>
      <w:rFonts w:ascii="Tahoma" w:hAnsi="Tahoma" w:cs="Tahoma"/>
    </w:rPr>
  </w:style>
  <w:style w:type="paragraph" w:styleId="Pa0">
    <w:name w:val="Pa0"/>
    <w:basedOn w:val="Normal"/>
    <w:next w:val="Normal"/>
    <w:qFormat/>
    <w:pPr>
      <w:widowControl w:val="false"/>
      <w:spacing w:lineRule="atLeast" w:line="241"/>
    </w:pPr>
    <w:rPr>
      <w:rFonts w:ascii="Baskerville" w:hAnsi="Baskerville" w:cs="Baskerville"/>
      <w:sz w:val="24"/>
      <w:szCs w:val="24"/>
    </w:rPr>
  </w:style>
  <w:style w:type="paragraph" w:styleId="Style7">
    <w:name w:val="풍선 도움말 텍스트"/>
    <w:basedOn w:val="Normal"/>
    <w:qFormat/>
    <w:pPr/>
    <w:rPr>
      <w:rFonts w:ascii="Tahoma" w:hAnsi="Tahoma" w:cs="Tahoma"/>
      <w:sz w:val="16"/>
      <w:szCs w:val="16"/>
    </w:rPr>
  </w:style>
  <w:style w:type="paragraph" w:styleId="ParagraphStyle1">
    <w:name w:val="Paragraph Style 1"/>
    <w:basedOn w:val="Normal"/>
    <w:qFormat/>
    <w:pPr>
      <w:widowControl w:val="false"/>
      <w:tabs>
        <w:tab w:val="clear" w:pos="202"/>
        <w:tab w:val="left" w:pos="480" w:leader="none"/>
      </w:tabs>
      <w:spacing w:lineRule="atLeast" w:line="280" w:before="100" w:after="0"/>
      <w:textAlignment w:val="center"/>
    </w:pPr>
    <w:rPr>
      <w:rFonts w:ascii="Formata-Regular;Times New Roman" w:hAnsi="Formata-Regular;Times New Roman" w:eastAsia="MS Mincho" w:cs="Formata-Regular;Times New Roman"/>
      <w:color w:val="000000"/>
      <w:sz w:val="22"/>
      <w:szCs w:val="22"/>
      <w:lang w:eastAsia="ja-JP"/>
    </w:rPr>
  </w:style>
  <w:style w:type="paragraph" w:styleId="Style11">
    <w:name w:val="Style1"/>
    <w:basedOn w:val="ReferenceHead"/>
    <w:qFormat/>
    <w:pPr/>
    <w:rPr/>
  </w:style>
  <w:style w:type="paragraph" w:styleId="ColorfulShading-Accent11">
    <w:name w:val="Colorful Shading - Accent 11"/>
    <w:qFormat/>
    <w:pPr>
      <w:widowControl/>
      <w:bidi w:val="0"/>
    </w:pPr>
    <w:rPr>
      <w:rFonts w:ascii="Times New Roman" w:hAnsi="Times New Roman" w:eastAsia="맑은 고딕" w:cs="Times New Roman"/>
      <w:color w:val="auto"/>
      <w:sz w:val="20"/>
      <w:szCs w:val="20"/>
      <w:lang w:bidi="ar-SA" w:val="en-US" w:eastAsia="zh-CN"/>
    </w:rPr>
  </w:style>
  <w:style w:type="paragraph" w:styleId="TextL-MAG">
    <w:name w:val="Text L-MAG"/>
    <w:basedOn w:val="Normal"/>
    <w:qFormat/>
    <w:pPr>
      <w:widowControl w:val="false"/>
      <w:tabs>
        <w:tab w:val="clear" w:pos="202"/>
        <w:tab w:val="left" w:pos="360" w:leader="none"/>
      </w:tabs>
      <w:spacing w:lineRule="auto" w:line="276"/>
      <w:ind w:firstLine="360" w:start="0" w:end="0"/>
      <w:jc w:val="both"/>
    </w:pPr>
    <w:rPr>
      <w:rFonts w:ascii="Arial" w:hAnsi="Arial" w:eastAsia="MS Mincho" w:cs="Arial"/>
      <w:sz w:val="18"/>
      <w:szCs w:val="22"/>
      <w:lang w:eastAsia="ja-JP"/>
    </w:rPr>
  </w:style>
  <w:style w:type="paragraph" w:styleId="ColorfulList-Accent11">
    <w:name w:val="Colorful List - Accent 11"/>
    <w:basedOn w:val="Normal"/>
    <w:qFormat/>
    <w:pPr>
      <w:spacing w:before="0" w:after="0"/>
      <w:ind w:hanging="0" w:start="720" w:end="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eywords@ieee.org" TargetMode="External"/><Relationship Id="rId3" Type="http://schemas.openxmlformats.org/officeDocument/2006/relationships/hyperlink" Target="http://www.ieee.org/organizations/pubs/ani_prod/keywrd98.txt" TargetMode="External"/><Relationship Id="rId4" Type="http://schemas.openxmlformats.org/officeDocument/2006/relationships/hyperlink" Target="http://www.ieee.org/authortools" TargetMode="External"/><Relationship Id="rId5" Type="http://schemas.openxmlformats.org/officeDocument/2006/relationships/hyperlink" Target="https://www.overleaf.com/blog/278-how-to-use-overleaf-with-ieee-collabratec-your-quick-guide-to-getting-started%23.Vp6tpPkrKM9" TargetMode="External"/><Relationship Id="rId6" Type="http://schemas.openxmlformats.org/officeDocument/2006/relationships/hyperlink" Target="http://www.ieee.org/authortools" TargetMode="External"/><Relationship Id="rId9" Type="http://schemas.openxmlformats.org/officeDocument/2006/relationships/hyperlink" Target="http://graphicsqc.ieee.org/" TargetMode="External"/><Relationship Id="rId10" Type="http://schemas.openxmlformats.org/officeDocument/2006/relationships/hyperlink" Target="mailto:graphics@ieee.org" TargetMode="External"/><Relationship Id="rId11" Type="http://schemas.openxmlformats.org/officeDocument/2006/relationships/hyperlink" Target="http://www.ieee.org/authortools" TargetMode="External"/><Relationship Id="rId12" Type="http://schemas.openxmlformats.org/officeDocument/2006/relationships/hyperlink" Target="http://www.ieee.org/publications_standards/publications/authors/authors_submission.html" TargetMode="External"/><Relationship Id="rId13" Type="http://schemas.openxmlformats.org/officeDocument/2006/relationships/hyperlink" Target="http://www.ieee.org/publications_standards/publications/rights/index.htm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 Id="rIdFig1" Type="http://schemas.openxmlformats.org/officeDocument/2006/relationships/image" Target="media/fig_example.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ieee_tj_template_17.dotx</Template>
  <TotalTime>2</TotalTime>
  <Application>LibreOffice/26.2.5.2$Linux_X86_64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2024-02-07T04:54:00Z</dcterms:created>
  <dc:creator>Tiffany McKerahan</dc:creator>
  <dc:description/>
  <cp:keywords/>
  <dc:language>en-US</dc:language>
  <cp:lastModifiedBy>고근배 부사장</cp:lastModifiedBy>
  <cp:lastPrinted>2024-02-07T13:52:00Z</cp:lastPrinted>
  <dcterms:modified xsi:type="dcterms:W3CDTF">2026-09-23T02:35:00Z</dcterms:modified>
  <cp:revision>3</cp:revision>
  <dc:subject>IEEE Transactions on Magnetics</dc:subject>
  <dc: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ActionId">
    <vt:lpwstr>e74fe972-cb09-4967-a25e-55858dc10619</vt:lpwstr>
  </property>
  <property fmtid="{D5CDD505-2E9C-101B-9397-08002B2CF9AE}" pid="3" name="MSIP_Label_ff6dbec8-95a8-4638-9f5f-bd076536645c_ContentBits">
    <vt:lpwstr>0</vt:lpwstr>
  </property>
  <property fmtid="{D5CDD505-2E9C-101B-9397-08002B2CF9AE}" pid="4" name="MSIP_Label_ff6dbec8-95a8-4638-9f5f-bd076536645c_Enabled">
    <vt:lpwstr>true</vt:lpwstr>
  </property>
  <property fmtid="{D5CDD505-2E9C-101B-9397-08002B2CF9AE}" pid="5" name="MSIP_Label_ff6dbec8-95a8-4638-9f5f-bd076536645c_Method">
    <vt:lpwstr>Standard</vt:lpwstr>
  </property>
  <property fmtid="{D5CDD505-2E9C-101B-9397-08002B2CF9AE}" pid="6" name="MSIP_Label_ff6dbec8-95a8-4638-9f5f-bd076536645c_Name">
    <vt:lpwstr>Restricted - Default</vt:lpwstr>
  </property>
  <property fmtid="{D5CDD505-2E9C-101B-9397-08002B2CF9AE}" pid="7" name="MSIP_Label_ff6dbec8-95a8-4638-9f5f-bd076536645c_SetDate">
    <vt:lpwstr>2024-02-07T12:54:33Z</vt:lpwstr>
  </property>
  <property fmtid="{D5CDD505-2E9C-101B-9397-08002B2CF9AE}" pid="8" name="MSIP_Label_ff6dbec8-95a8-4638-9f5f-bd076536645c_SiteId">
    <vt:lpwstr>5dbf1add-202a-4b8d-815b-bf0fb024e033</vt:lpwstr>
  </property>
</Properties>
</file>